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D988" w14:textId="77777777" w:rsidR="00554087" w:rsidRPr="002A33E4" w:rsidRDefault="00554087" w:rsidP="005C5593">
      <w:pPr>
        <w:spacing w:line="240" w:lineRule="atLeast"/>
        <w:jc w:val="center"/>
        <w:rPr>
          <w:rFonts w:hAnsi="ＭＳ 明朝"/>
          <w:sz w:val="32"/>
          <w:szCs w:val="32"/>
        </w:rPr>
      </w:pPr>
      <w:r w:rsidRPr="002A33E4">
        <w:rPr>
          <w:rFonts w:hAnsi="ＭＳ 明朝" w:hint="eastAsia"/>
          <w:sz w:val="32"/>
          <w:szCs w:val="32"/>
        </w:rPr>
        <w:t>ハラスメント対策委員会規程</w:t>
      </w:r>
    </w:p>
    <w:p w14:paraId="4E56F08D" w14:textId="77777777" w:rsidR="00554087" w:rsidRPr="002A33E4" w:rsidRDefault="00554087" w:rsidP="005C5593">
      <w:pPr>
        <w:spacing w:line="240" w:lineRule="atLeast"/>
        <w:rPr>
          <w:rFonts w:hAnsi="ＭＳ 明朝"/>
          <w:sz w:val="20"/>
        </w:rPr>
      </w:pPr>
    </w:p>
    <w:p w14:paraId="78572943" w14:textId="77777777" w:rsidR="007D02DB" w:rsidRPr="002A33E4" w:rsidRDefault="007D02DB" w:rsidP="005C5593">
      <w:pPr>
        <w:spacing w:line="240" w:lineRule="atLeast"/>
        <w:rPr>
          <w:rFonts w:hAnsi="ＭＳ 明朝"/>
          <w:sz w:val="20"/>
        </w:rPr>
      </w:pPr>
    </w:p>
    <w:p w14:paraId="42D6D997" w14:textId="77777777" w:rsidR="00554087" w:rsidRPr="002A33E4" w:rsidRDefault="00554087" w:rsidP="005C5593">
      <w:pPr>
        <w:spacing w:line="240" w:lineRule="atLeast"/>
        <w:rPr>
          <w:rFonts w:hAnsi="ＭＳ 明朝"/>
          <w:sz w:val="20"/>
        </w:rPr>
      </w:pPr>
      <w:r w:rsidRPr="002A33E4">
        <w:rPr>
          <w:rFonts w:hAnsi="ＭＳ 明朝" w:hint="eastAsia"/>
          <w:sz w:val="20"/>
        </w:rPr>
        <w:t>（適　　用）</w:t>
      </w:r>
    </w:p>
    <w:p w14:paraId="47663F36" w14:textId="77777777" w:rsidR="00554087" w:rsidRPr="002A33E4" w:rsidRDefault="00554087" w:rsidP="002F797F">
      <w:pPr>
        <w:spacing w:line="240" w:lineRule="atLeast"/>
        <w:ind w:left="800" w:hangingChars="400" w:hanging="800"/>
        <w:rPr>
          <w:rFonts w:hAnsi="ＭＳ 明朝"/>
          <w:sz w:val="20"/>
        </w:rPr>
      </w:pPr>
      <w:r w:rsidRPr="002A33E4">
        <w:rPr>
          <w:rFonts w:hAnsi="ＭＳ 明朝" w:hint="eastAsia"/>
          <w:sz w:val="20"/>
        </w:rPr>
        <w:t>第１条　　本規程は、ハラスメント防止規程第４条第７項に基づき、ハラスメント対策委員会（以下「委員会」という。）について定めたものである。</w:t>
      </w:r>
    </w:p>
    <w:p w14:paraId="3893CDCA" w14:textId="77777777" w:rsidR="00554087" w:rsidRPr="002A33E4" w:rsidRDefault="00554087" w:rsidP="005C5593">
      <w:pPr>
        <w:spacing w:line="240" w:lineRule="atLeast"/>
        <w:rPr>
          <w:rFonts w:hAnsi="ＭＳ 明朝"/>
          <w:sz w:val="20"/>
        </w:rPr>
      </w:pPr>
    </w:p>
    <w:p w14:paraId="194A89B0" w14:textId="77777777" w:rsidR="00554087" w:rsidRPr="002A33E4" w:rsidRDefault="00554087" w:rsidP="005C5593">
      <w:pPr>
        <w:spacing w:line="240" w:lineRule="atLeast"/>
        <w:rPr>
          <w:rFonts w:hAnsi="ＭＳ 明朝"/>
          <w:sz w:val="20"/>
        </w:rPr>
      </w:pPr>
      <w:r w:rsidRPr="002A33E4">
        <w:rPr>
          <w:rFonts w:hAnsi="ＭＳ 明朝" w:hint="eastAsia"/>
          <w:sz w:val="20"/>
        </w:rPr>
        <w:t>（目　　的）</w:t>
      </w:r>
    </w:p>
    <w:p w14:paraId="5B90ED77"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第２条　委員会は、ハラスメントに関する事項についてハラスメントの事実関係の確認・調査を実施する。</w:t>
      </w:r>
    </w:p>
    <w:p w14:paraId="61F2E7D6" w14:textId="77777777" w:rsidR="00554087" w:rsidRPr="002A33E4" w:rsidRDefault="00554087" w:rsidP="005C5593">
      <w:pPr>
        <w:spacing w:line="240" w:lineRule="atLeast"/>
        <w:ind w:left="800" w:hangingChars="400" w:hanging="800"/>
        <w:rPr>
          <w:rFonts w:hAnsi="ＭＳ 明朝"/>
          <w:sz w:val="20"/>
        </w:rPr>
      </w:pPr>
    </w:p>
    <w:p w14:paraId="3EB4F561"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（付議事項）</w:t>
      </w:r>
    </w:p>
    <w:p w14:paraId="3F364EA6" w14:textId="77777777" w:rsidR="00554087" w:rsidRPr="002A33E4" w:rsidRDefault="00554087" w:rsidP="007873AD">
      <w:pPr>
        <w:spacing w:line="240" w:lineRule="atLeast"/>
        <w:ind w:left="800" w:hangingChars="400" w:hanging="800"/>
        <w:rPr>
          <w:rFonts w:hAnsi="ＭＳ 明朝"/>
          <w:sz w:val="20"/>
        </w:rPr>
      </w:pPr>
      <w:r w:rsidRPr="002A33E4">
        <w:rPr>
          <w:rFonts w:hAnsi="ＭＳ 明朝" w:hint="eastAsia"/>
          <w:sz w:val="20"/>
        </w:rPr>
        <w:t>第３条　委員会には正社員就業規則第3</w:t>
      </w:r>
      <w:r w:rsidR="007873AD" w:rsidRPr="002A33E4">
        <w:rPr>
          <w:rFonts w:hAnsi="ＭＳ 明朝" w:hint="eastAsia"/>
          <w:sz w:val="20"/>
        </w:rPr>
        <w:t>5</w:t>
      </w:r>
      <w:r w:rsidRPr="002A33E4">
        <w:rPr>
          <w:rFonts w:hAnsi="ＭＳ 明朝" w:hint="eastAsia"/>
          <w:sz w:val="20"/>
        </w:rPr>
        <w:t>条第</w:t>
      </w:r>
      <w:r w:rsidR="007873AD" w:rsidRPr="002A33E4">
        <w:rPr>
          <w:rFonts w:hAnsi="ＭＳ 明朝" w:hint="eastAsia"/>
          <w:sz w:val="20"/>
        </w:rPr>
        <w:t>１</w:t>
      </w:r>
      <w:r w:rsidRPr="002A33E4">
        <w:rPr>
          <w:rFonts w:hAnsi="ＭＳ 明朝" w:hint="eastAsia"/>
          <w:sz w:val="20"/>
        </w:rPr>
        <w:t>項第２号に関する事項を付議する。</w:t>
      </w:r>
    </w:p>
    <w:p w14:paraId="217409ED" w14:textId="77777777" w:rsidR="00554087" w:rsidRPr="002A33E4" w:rsidRDefault="00554087" w:rsidP="005C5593">
      <w:pPr>
        <w:spacing w:line="240" w:lineRule="atLeast"/>
        <w:ind w:left="800" w:hangingChars="400" w:hanging="800"/>
        <w:rPr>
          <w:rFonts w:hAnsi="ＭＳ 明朝"/>
          <w:sz w:val="20"/>
        </w:rPr>
      </w:pPr>
    </w:p>
    <w:p w14:paraId="7BAD97D8"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（主 管 課）</w:t>
      </w:r>
    </w:p>
    <w:p w14:paraId="4DA73600"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第４条　委員会の主管課は、総務部総務課とする。</w:t>
      </w:r>
    </w:p>
    <w:p w14:paraId="22CF73A5" w14:textId="77777777" w:rsidR="00554087" w:rsidRPr="002A33E4" w:rsidRDefault="00554087" w:rsidP="005C5593">
      <w:pPr>
        <w:spacing w:line="240" w:lineRule="atLeast"/>
        <w:ind w:left="800" w:hangingChars="400" w:hanging="800"/>
        <w:rPr>
          <w:rFonts w:hAnsi="ＭＳ 明朝"/>
          <w:sz w:val="20"/>
        </w:rPr>
      </w:pPr>
    </w:p>
    <w:p w14:paraId="0B944C06"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（構　　成）</w:t>
      </w:r>
    </w:p>
    <w:p w14:paraId="533535CE"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第５条　　委員会は、会社・労働組合のそれぞれ３名</w:t>
      </w:r>
      <w:r w:rsidR="00D14D98" w:rsidRPr="002A33E4">
        <w:rPr>
          <w:rFonts w:hAnsi="ＭＳ 明朝" w:hint="eastAsia"/>
          <w:bCs/>
          <w:sz w:val="20"/>
        </w:rPr>
        <w:t>以内の相談員で構成し、相談員については別途定めて周知する。</w:t>
      </w:r>
    </w:p>
    <w:p w14:paraId="3B5DFF72" w14:textId="77777777" w:rsidR="00554087" w:rsidRPr="002A33E4" w:rsidRDefault="00554087" w:rsidP="005C5593">
      <w:pPr>
        <w:spacing w:line="240" w:lineRule="atLeast"/>
        <w:ind w:left="800" w:hangingChars="400" w:hanging="800"/>
        <w:rPr>
          <w:rFonts w:hAnsi="ＭＳ 明朝"/>
          <w:sz w:val="20"/>
        </w:rPr>
      </w:pPr>
    </w:p>
    <w:p w14:paraId="201D8990"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（委 員 会）</w:t>
      </w:r>
    </w:p>
    <w:p w14:paraId="2833284A"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第６条　　委員長は、総務部長があたるものとする。</w:t>
      </w:r>
    </w:p>
    <w:p w14:paraId="4D9D6397" w14:textId="77777777" w:rsidR="00554087" w:rsidRPr="002A33E4" w:rsidRDefault="00554087" w:rsidP="005C5593">
      <w:pPr>
        <w:spacing w:line="240" w:lineRule="atLeast"/>
        <w:ind w:leftChars="250" w:left="800" w:hangingChars="100" w:hanging="200"/>
        <w:rPr>
          <w:rFonts w:hAnsi="ＭＳ 明朝"/>
          <w:sz w:val="20"/>
        </w:rPr>
      </w:pPr>
      <w:r w:rsidRPr="002A33E4">
        <w:rPr>
          <w:rFonts w:hAnsi="ＭＳ 明朝" w:hint="eastAsia"/>
          <w:sz w:val="20"/>
        </w:rPr>
        <w:t>②　委員長は、委員会を招集し会務を主宰する。</w:t>
      </w:r>
    </w:p>
    <w:p w14:paraId="2A02875A" w14:textId="77777777" w:rsidR="00554087" w:rsidRPr="002A33E4" w:rsidRDefault="00554087" w:rsidP="005C5593">
      <w:pPr>
        <w:spacing w:line="240" w:lineRule="atLeast"/>
        <w:ind w:leftChars="250" w:left="800" w:hangingChars="100" w:hanging="200"/>
        <w:rPr>
          <w:rFonts w:hAnsi="ＭＳ 明朝"/>
          <w:sz w:val="20"/>
        </w:rPr>
      </w:pPr>
      <w:r w:rsidRPr="002A33E4">
        <w:rPr>
          <w:rFonts w:hAnsi="ＭＳ 明朝" w:hint="eastAsia"/>
          <w:sz w:val="20"/>
        </w:rPr>
        <w:t>③　この規程に定めのない委員会の運営に関することは、委員長が委員会に諮って決めるものとする。</w:t>
      </w:r>
    </w:p>
    <w:p w14:paraId="3E0F45F6" w14:textId="77777777" w:rsidR="00554087" w:rsidRPr="002A33E4" w:rsidRDefault="00554087" w:rsidP="005C5593">
      <w:pPr>
        <w:spacing w:line="240" w:lineRule="atLeast"/>
        <w:ind w:left="800" w:hangingChars="400" w:hanging="800"/>
        <w:rPr>
          <w:rFonts w:hAnsi="ＭＳ 明朝"/>
          <w:sz w:val="20"/>
        </w:rPr>
      </w:pPr>
    </w:p>
    <w:p w14:paraId="6AFBC608"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（決　　議）</w:t>
      </w:r>
    </w:p>
    <w:p w14:paraId="57E90EAD"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第７条　委員会の決議は出席委員の合意による。</w:t>
      </w:r>
    </w:p>
    <w:p w14:paraId="22E4E0BC" w14:textId="77777777" w:rsidR="00554087" w:rsidRPr="002A33E4" w:rsidRDefault="00554087" w:rsidP="005C5593">
      <w:pPr>
        <w:spacing w:line="240" w:lineRule="atLeast"/>
        <w:ind w:left="800" w:hangingChars="400" w:hanging="800"/>
        <w:rPr>
          <w:rFonts w:hAnsi="ＭＳ 明朝"/>
          <w:sz w:val="20"/>
        </w:rPr>
      </w:pPr>
    </w:p>
    <w:p w14:paraId="418E56A0"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（参考意見の聴取）</w:t>
      </w:r>
    </w:p>
    <w:p w14:paraId="0C9E1929"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第８条　委員会が認めたときは、関係者などを招集してその意見を聞き審議に資することができる。</w:t>
      </w:r>
    </w:p>
    <w:p w14:paraId="2837F5FD" w14:textId="77777777" w:rsidR="00554087" w:rsidRPr="002A33E4" w:rsidRDefault="00554087" w:rsidP="005C5593">
      <w:pPr>
        <w:spacing w:line="240" w:lineRule="atLeast"/>
        <w:ind w:left="800" w:hangingChars="400" w:hanging="800"/>
        <w:rPr>
          <w:rFonts w:hAnsi="ＭＳ 明朝"/>
          <w:sz w:val="20"/>
        </w:rPr>
      </w:pPr>
    </w:p>
    <w:p w14:paraId="05E4B851"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（秘密保持）</w:t>
      </w:r>
    </w:p>
    <w:p w14:paraId="327FA0E4" w14:textId="77777777" w:rsidR="00554087" w:rsidRPr="002A33E4" w:rsidRDefault="00554087" w:rsidP="005C5593">
      <w:pPr>
        <w:spacing w:line="240" w:lineRule="atLeast"/>
        <w:ind w:left="800" w:hangingChars="400" w:hanging="800"/>
        <w:rPr>
          <w:rFonts w:hAnsi="ＭＳ 明朝"/>
          <w:sz w:val="20"/>
        </w:rPr>
      </w:pPr>
      <w:r w:rsidRPr="002A33E4">
        <w:rPr>
          <w:rFonts w:hAnsi="ＭＳ 明朝" w:hint="eastAsia"/>
          <w:sz w:val="20"/>
        </w:rPr>
        <w:t>第９条　委員会に出席した者は、委員会で発表を制限した事項を他にもらし、または公表してはならない。</w:t>
      </w:r>
    </w:p>
    <w:p w14:paraId="654C1DC6" w14:textId="77777777" w:rsidR="00554087" w:rsidRPr="002A33E4" w:rsidRDefault="00554087" w:rsidP="005C5593">
      <w:pPr>
        <w:spacing w:line="240" w:lineRule="atLeast"/>
        <w:ind w:left="800" w:hangingChars="400" w:hanging="800"/>
        <w:rPr>
          <w:rFonts w:hAnsi="ＭＳ 明朝"/>
          <w:sz w:val="20"/>
        </w:rPr>
      </w:pPr>
    </w:p>
    <w:p w14:paraId="341F11B1" w14:textId="77777777" w:rsidR="00554087" w:rsidRPr="002A33E4" w:rsidRDefault="00554087" w:rsidP="005C5593">
      <w:pPr>
        <w:spacing w:line="240" w:lineRule="atLeast"/>
        <w:ind w:left="800" w:hangingChars="400" w:hanging="800"/>
        <w:rPr>
          <w:rFonts w:hAnsi="ＭＳ 明朝"/>
          <w:sz w:val="20"/>
        </w:rPr>
      </w:pPr>
    </w:p>
    <w:p w14:paraId="26F68832" w14:textId="77777777" w:rsidR="00554087" w:rsidRPr="002A33E4" w:rsidRDefault="00554087" w:rsidP="005C5593">
      <w:pPr>
        <w:spacing w:line="240" w:lineRule="atLeast"/>
        <w:jc w:val="center"/>
        <w:rPr>
          <w:rFonts w:hAnsi="ＭＳ 明朝"/>
          <w:sz w:val="20"/>
        </w:rPr>
      </w:pPr>
      <w:r w:rsidRPr="002A33E4">
        <w:rPr>
          <w:rFonts w:hAnsi="ＭＳ 明朝" w:hint="eastAsia"/>
          <w:sz w:val="20"/>
        </w:rPr>
        <w:t>付　　則</w:t>
      </w:r>
    </w:p>
    <w:p w14:paraId="5AD3B849" w14:textId="77777777" w:rsidR="00554087" w:rsidRPr="002A33E4" w:rsidRDefault="00554087" w:rsidP="005C5593">
      <w:pPr>
        <w:spacing w:line="240" w:lineRule="atLeast"/>
        <w:jc w:val="center"/>
        <w:rPr>
          <w:rFonts w:hAnsi="ＭＳ 明朝"/>
          <w:sz w:val="20"/>
        </w:rPr>
      </w:pPr>
    </w:p>
    <w:p w14:paraId="0751A55C" w14:textId="77777777" w:rsidR="00554087" w:rsidRPr="002A33E4" w:rsidRDefault="00554087" w:rsidP="005C5593">
      <w:pPr>
        <w:spacing w:line="240" w:lineRule="atLeast"/>
        <w:rPr>
          <w:rFonts w:hAnsi="ＭＳ 明朝"/>
          <w:sz w:val="20"/>
        </w:rPr>
      </w:pPr>
      <w:r w:rsidRPr="002A33E4">
        <w:rPr>
          <w:rFonts w:hAnsi="ＭＳ 明朝" w:hint="eastAsia"/>
          <w:sz w:val="20"/>
        </w:rPr>
        <w:t>第１条　　この規程は、</w:t>
      </w:r>
      <w:r w:rsidR="00050BA8" w:rsidRPr="002A33E4">
        <w:rPr>
          <w:rFonts w:hAnsi="ＭＳ 明朝" w:hint="eastAsia"/>
          <w:sz w:val="20"/>
        </w:rPr>
        <w:t>2016</w:t>
      </w:r>
      <w:r w:rsidRPr="002A33E4">
        <w:rPr>
          <w:rFonts w:hAnsi="ＭＳ 明朝" w:hint="eastAsia"/>
          <w:sz w:val="20"/>
        </w:rPr>
        <w:t>年</w:t>
      </w:r>
      <w:r w:rsidR="00050BA8" w:rsidRPr="002A33E4">
        <w:rPr>
          <w:rFonts w:hAnsi="ＭＳ 明朝" w:hint="eastAsia"/>
          <w:sz w:val="20"/>
        </w:rPr>
        <w:t xml:space="preserve"> 4</w:t>
      </w:r>
      <w:r w:rsidRPr="002A33E4">
        <w:rPr>
          <w:rFonts w:hAnsi="ＭＳ 明朝" w:hint="eastAsia"/>
          <w:sz w:val="20"/>
        </w:rPr>
        <w:t>月</w:t>
      </w:r>
      <w:r w:rsidR="00050BA8" w:rsidRPr="002A33E4">
        <w:rPr>
          <w:rFonts w:hAnsi="ＭＳ 明朝" w:hint="eastAsia"/>
          <w:sz w:val="20"/>
        </w:rPr>
        <w:t xml:space="preserve"> 1</w:t>
      </w:r>
      <w:r w:rsidRPr="002A33E4">
        <w:rPr>
          <w:rFonts w:hAnsi="ＭＳ 明朝" w:hint="eastAsia"/>
          <w:sz w:val="20"/>
        </w:rPr>
        <w:t>日より施行する。</w:t>
      </w:r>
    </w:p>
    <w:p w14:paraId="62416FEB" w14:textId="77777777" w:rsidR="00554087" w:rsidRPr="002A33E4" w:rsidRDefault="00554087" w:rsidP="005C5593">
      <w:pPr>
        <w:spacing w:line="240" w:lineRule="atLeast"/>
        <w:rPr>
          <w:rFonts w:hAnsi="ＭＳ 明朝"/>
          <w:sz w:val="20"/>
        </w:rPr>
      </w:pPr>
    </w:p>
    <w:p w14:paraId="036F7EBD" w14:textId="77777777" w:rsidR="00ED7A7E" w:rsidRPr="002A33E4" w:rsidRDefault="00ED7A7E" w:rsidP="00ED7A7E">
      <w:pPr>
        <w:pStyle w:val="a3"/>
        <w:widowControl/>
        <w:rPr>
          <w:rFonts w:hAnsi="ＭＳ 明朝"/>
        </w:rPr>
      </w:pPr>
      <w:r w:rsidRPr="002A33E4">
        <w:rPr>
          <w:rFonts w:hAnsi="ＭＳ 明朝" w:hint="eastAsia"/>
        </w:rPr>
        <w:t>（一部改正の沿革）</w:t>
      </w:r>
    </w:p>
    <w:p w14:paraId="675DCF81" w14:textId="77777777" w:rsidR="00ED7A7E" w:rsidRPr="002A33E4" w:rsidRDefault="00ED7A7E" w:rsidP="00ED7A7E">
      <w:pPr>
        <w:pStyle w:val="a3"/>
        <w:widowControl/>
      </w:pPr>
      <w:r w:rsidRPr="002A33E4">
        <w:rPr>
          <w:rFonts w:hint="eastAsia"/>
        </w:rPr>
        <w:t xml:space="preserve">　　　　2020年</w:t>
      </w:r>
      <w:r w:rsidRPr="002A33E4">
        <w:t xml:space="preserve"> 3</w:t>
      </w:r>
      <w:r w:rsidRPr="002A33E4">
        <w:rPr>
          <w:rFonts w:hint="eastAsia"/>
        </w:rPr>
        <w:t>月</w:t>
      </w:r>
      <w:r w:rsidRPr="002A33E4">
        <w:t>16</w:t>
      </w:r>
      <w:r w:rsidRPr="002A33E4">
        <w:rPr>
          <w:rFonts w:hint="eastAsia"/>
        </w:rPr>
        <w:t>日</w:t>
      </w:r>
    </w:p>
    <w:p w14:paraId="14EE8692" w14:textId="77777777" w:rsidR="00554087" w:rsidRPr="002A33E4" w:rsidRDefault="00554087" w:rsidP="005C5593">
      <w:pPr>
        <w:spacing w:line="240" w:lineRule="atLeast"/>
        <w:rPr>
          <w:rFonts w:hAnsi="ＭＳ 明朝"/>
          <w:sz w:val="20"/>
        </w:rPr>
      </w:pPr>
    </w:p>
    <w:p w14:paraId="1DAD4870" w14:textId="77777777" w:rsidR="00554087" w:rsidRPr="002A33E4" w:rsidRDefault="00554087" w:rsidP="005C5593">
      <w:pPr>
        <w:spacing w:line="240" w:lineRule="atLeast"/>
        <w:rPr>
          <w:rFonts w:hAnsi="ＭＳ 明朝"/>
          <w:sz w:val="20"/>
        </w:rPr>
      </w:pPr>
    </w:p>
    <w:p w14:paraId="1BC0A969" w14:textId="77777777" w:rsidR="007D02DB" w:rsidRPr="002A33E4" w:rsidRDefault="007D02DB" w:rsidP="005C5593">
      <w:pPr>
        <w:spacing w:line="240" w:lineRule="atLeast"/>
        <w:rPr>
          <w:rFonts w:hAnsi="ＭＳ 明朝"/>
          <w:sz w:val="20"/>
        </w:rPr>
      </w:pPr>
    </w:p>
    <w:p w14:paraId="492FE7E0" w14:textId="77777777" w:rsidR="007D02DB" w:rsidRPr="002A33E4" w:rsidRDefault="007D02DB" w:rsidP="005C5593">
      <w:pPr>
        <w:spacing w:line="240" w:lineRule="atLeast"/>
        <w:rPr>
          <w:rFonts w:hAnsi="ＭＳ 明朝"/>
          <w:sz w:val="20"/>
        </w:rPr>
      </w:pPr>
    </w:p>
    <w:p w14:paraId="4DDF6832" w14:textId="77777777" w:rsidR="007D02DB" w:rsidRPr="002A33E4" w:rsidRDefault="007D02DB" w:rsidP="005C5593">
      <w:pPr>
        <w:spacing w:line="240" w:lineRule="atLeast"/>
        <w:rPr>
          <w:rFonts w:hAnsi="ＭＳ 明朝"/>
          <w:sz w:val="20"/>
        </w:rPr>
      </w:pPr>
    </w:p>
    <w:p w14:paraId="0EAD2E9E" w14:textId="77777777" w:rsidR="007D02DB" w:rsidRPr="002A33E4" w:rsidRDefault="007D02DB" w:rsidP="005C5593">
      <w:pPr>
        <w:spacing w:line="240" w:lineRule="atLeast"/>
        <w:rPr>
          <w:rFonts w:hAnsi="ＭＳ 明朝"/>
          <w:sz w:val="20"/>
        </w:rPr>
      </w:pPr>
    </w:p>
    <w:p w14:paraId="24E21ED2" w14:textId="77777777" w:rsidR="007D02DB" w:rsidRPr="002A33E4" w:rsidRDefault="007D02DB" w:rsidP="005C5593">
      <w:pPr>
        <w:spacing w:line="240" w:lineRule="atLeast"/>
        <w:rPr>
          <w:rFonts w:hAnsi="ＭＳ 明朝"/>
          <w:sz w:val="20"/>
        </w:rPr>
      </w:pPr>
    </w:p>
    <w:p w14:paraId="11C51357" w14:textId="77777777" w:rsidR="007D02DB" w:rsidRPr="002A33E4" w:rsidRDefault="007D02DB" w:rsidP="005C5593">
      <w:pPr>
        <w:spacing w:line="240" w:lineRule="atLeast"/>
        <w:rPr>
          <w:rFonts w:hAnsi="ＭＳ 明朝"/>
          <w:sz w:val="20"/>
        </w:rPr>
      </w:pPr>
    </w:p>
    <w:p w14:paraId="5083BB29" w14:textId="77777777" w:rsidR="007D02DB" w:rsidRPr="002A33E4" w:rsidRDefault="007D02DB" w:rsidP="005C5593">
      <w:pPr>
        <w:spacing w:line="240" w:lineRule="atLeast"/>
        <w:rPr>
          <w:rFonts w:hAnsi="ＭＳ 明朝"/>
          <w:sz w:val="20"/>
        </w:rPr>
      </w:pPr>
    </w:p>
    <w:p w14:paraId="68AFE377" w14:textId="77777777" w:rsidR="00004F0A" w:rsidRPr="002A33E4" w:rsidRDefault="00004F0A" w:rsidP="00004F0A">
      <w:pPr>
        <w:pStyle w:val="a3"/>
        <w:widowControl/>
        <w:wordWrap w:val="0"/>
      </w:pPr>
    </w:p>
    <w:p w14:paraId="3EB648B0" w14:textId="77777777" w:rsidR="00004F0A" w:rsidRPr="002A33E4" w:rsidRDefault="00004F0A" w:rsidP="00004F0A">
      <w:pPr>
        <w:pStyle w:val="a3"/>
        <w:widowControl/>
        <w:wordWrap w:val="0"/>
      </w:pPr>
    </w:p>
    <w:sectPr w:rsidR="00004F0A" w:rsidRPr="002A33E4" w:rsidSect="00755D2F">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7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9456" w14:textId="77777777" w:rsidR="00C435D3" w:rsidRDefault="00C435D3">
      <w:pPr>
        <w:spacing w:line="240" w:lineRule="auto"/>
      </w:pPr>
      <w:r>
        <w:separator/>
      </w:r>
    </w:p>
  </w:endnote>
  <w:endnote w:type="continuationSeparator" w:id="0">
    <w:p w14:paraId="1C8BC4BA" w14:textId="77777777" w:rsidR="00C435D3" w:rsidRDefault="00C43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55C4"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1E71432"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DB09"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FC30C4">
      <w:rPr>
        <w:rFonts w:hint="eastAsia"/>
        <w:noProof/>
      </w:rPr>
      <w:t>７３</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CB0E"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5676" w14:textId="77777777" w:rsidR="00C435D3" w:rsidRDefault="00C435D3">
      <w:pPr>
        <w:spacing w:line="240" w:lineRule="auto"/>
      </w:pPr>
      <w:r>
        <w:separator/>
      </w:r>
    </w:p>
  </w:footnote>
  <w:footnote w:type="continuationSeparator" w:id="0">
    <w:p w14:paraId="0A08C7B5" w14:textId="77777777" w:rsidR="00C435D3" w:rsidRDefault="00C435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5F42"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055"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600B"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890775517">
    <w:abstractNumId w:val="6"/>
  </w:num>
  <w:num w:numId="2" w16cid:durableId="743260990">
    <w:abstractNumId w:val="7"/>
  </w:num>
  <w:num w:numId="3" w16cid:durableId="1971398686">
    <w:abstractNumId w:val="5"/>
  </w:num>
  <w:num w:numId="4" w16cid:durableId="893279235">
    <w:abstractNumId w:val="8"/>
  </w:num>
  <w:num w:numId="5" w16cid:durableId="1378243133">
    <w:abstractNumId w:val="9"/>
  </w:num>
  <w:num w:numId="6" w16cid:durableId="1639411895">
    <w:abstractNumId w:val="1"/>
  </w:num>
  <w:num w:numId="7" w16cid:durableId="430049393">
    <w:abstractNumId w:val="2"/>
  </w:num>
  <w:num w:numId="8" w16cid:durableId="694963180">
    <w:abstractNumId w:val="0"/>
  </w:num>
  <w:num w:numId="9" w16cid:durableId="185390959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77911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03E1"/>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47DF0"/>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28D5"/>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A2705"/>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5D2F"/>
    <w:rsid w:val="007570AC"/>
    <w:rsid w:val="007601AD"/>
    <w:rsid w:val="007616E4"/>
    <w:rsid w:val="00761AFB"/>
    <w:rsid w:val="00762F05"/>
    <w:rsid w:val="00766C0E"/>
    <w:rsid w:val="00771FC5"/>
    <w:rsid w:val="0077705C"/>
    <w:rsid w:val="0077756F"/>
    <w:rsid w:val="00777799"/>
    <w:rsid w:val="00777A8D"/>
    <w:rsid w:val="007817F3"/>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31A15"/>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E258B"/>
    <w:rsid w:val="00BE6F33"/>
    <w:rsid w:val="00BE7F32"/>
    <w:rsid w:val="00BF2658"/>
    <w:rsid w:val="00BF470A"/>
    <w:rsid w:val="00C01055"/>
    <w:rsid w:val="00C02F51"/>
    <w:rsid w:val="00C05B78"/>
    <w:rsid w:val="00C05FD0"/>
    <w:rsid w:val="00C06AAE"/>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35D3"/>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66B31"/>
    <w:rsid w:val="00F750C1"/>
    <w:rsid w:val="00F84219"/>
    <w:rsid w:val="00F85A6B"/>
    <w:rsid w:val="00F865E8"/>
    <w:rsid w:val="00F9164E"/>
    <w:rsid w:val="00F94A1E"/>
    <w:rsid w:val="00FA4E6C"/>
    <w:rsid w:val="00FB42F2"/>
    <w:rsid w:val="00FB59AB"/>
    <w:rsid w:val="00FB7AF0"/>
    <w:rsid w:val="00FC20FC"/>
    <w:rsid w:val="00FC30C4"/>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7E1C61"/>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0466-0869-47DA-9241-DC353423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521</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114</cp:revision>
  <cp:lastPrinted>2013-06-24T04:27:00Z</cp:lastPrinted>
  <dcterms:created xsi:type="dcterms:W3CDTF">2021-05-19T04:49:00Z</dcterms:created>
  <dcterms:modified xsi:type="dcterms:W3CDTF">2025-12-03T06:17:00Z</dcterms:modified>
</cp:coreProperties>
</file>